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11BD4" w14:textId="77777777" w:rsidR="009218AB" w:rsidRPr="009218AB" w:rsidRDefault="009218AB" w:rsidP="009218AB">
      <w:pPr>
        <w:spacing w:after="200" w:line="240" w:lineRule="auto"/>
        <w:jc w:val="right"/>
        <w:rPr>
          <w:rFonts w:ascii="Corbel" w:eastAsia="Calibri" w:hAnsi="Corbel" w:cs="Times New Roman"/>
          <w:bCs/>
          <w:i/>
          <w:sz w:val="18"/>
          <w:szCs w:val="18"/>
        </w:rPr>
      </w:pPr>
      <w:r w:rsidRPr="009218AB">
        <w:rPr>
          <w:rFonts w:ascii="Corbel" w:eastAsia="Calibri" w:hAnsi="Corbel" w:cs="Times New Roman"/>
          <w:bCs/>
          <w:i/>
          <w:sz w:val="18"/>
          <w:szCs w:val="18"/>
        </w:rPr>
        <w:t>Załącznik nr 1.5 do Zarządzenia Rektora UR  nr 12/2019</w:t>
      </w:r>
    </w:p>
    <w:p w14:paraId="738549E3" w14:textId="77777777" w:rsidR="00893DBF" w:rsidRPr="0035624D" w:rsidRDefault="00893DBF" w:rsidP="00893DBF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18"/>
          <w:szCs w:val="18"/>
        </w:rPr>
      </w:pPr>
      <w:r w:rsidRPr="0035624D">
        <w:rPr>
          <w:rFonts w:ascii="Corbel" w:eastAsia="Calibri" w:hAnsi="Corbel" w:cs="Times New Roman"/>
          <w:b/>
          <w:smallCaps/>
          <w:sz w:val="18"/>
          <w:szCs w:val="18"/>
        </w:rPr>
        <w:t>SYLABUS</w:t>
      </w:r>
    </w:p>
    <w:p w14:paraId="5B70914F" w14:textId="3013CAF4" w:rsidR="00893DBF" w:rsidRPr="0035624D" w:rsidRDefault="00893DBF" w:rsidP="00893DBF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18"/>
          <w:szCs w:val="18"/>
        </w:rPr>
      </w:pPr>
      <w:r w:rsidRPr="0035624D">
        <w:rPr>
          <w:rFonts w:ascii="Corbel" w:eastAsia="Calibri" w:hAnsi="Corbel" w:cs="Times New Roman"/>
          <w:b/>
          <w:smallCaps/>
          <w:sz w:val="18"/>
          <w:szCs w:val="18"/>
        </w:rPr>
        <w:t xml:space="preserve">dotyczy cyklu kształcenia </w:t>
      </w:r>
      <w:r w:rsidR="009C30CA">
        <w:rPr>
          <w:rFonts w:ascii="Corbel" w:hAnsi="Corbel"/>
          <w:i/>
          <w:smallCaps/>
        </w:rPr>
        <w:t>2021-2023</w:t>
      </w:r>
    </w:p>
    <w:p w14:paraId="088369AE" w14:textId="38B6EBFC" w:rsidR="00893DBF" w:rsidRPr="0035624D" w:rsidRDefault="00893DBF" w:rsidP="009C6A22">
      <w:pPr>
        <w:spacing w:after="0" w:line="240" w:lineRule="exact"/>
        <w:ind w:left="1416"/>
        <w:jc w:val="both"/>
        <w:rPr>
          <w:rFonts w:ascii="Corbel" w:eastAsia="Calibri" w:hAnsi="Corbel" w:cs="Times New Roman"/>
          <w:sz w:val="18"/>
          <w:szCs w:val="18"/>
        </w:rPr>
      </w:pPr>
      <w:r w:rsidRPr="0035624D">
        <w:rPr>
          <w:rFonts w:ascii="Corbel" w:eastAsia="Calibri" w:hAnsi="Corbel" w:cs="Times New Roman"/>
          <w:i/>
          <w:sz w:val="18"/>
          <w:szCs w:val="18"/>
        </w:rPr>
        <w:t xml:space="preserve">                                                                                                     </w:t>
      </w:r>
      <w:r w:rsidR="009C6A22">
        <w:rPr>
          <w:rFonts w:ascii="Corbel" w:eastAsia="Calibri" w:hAnsi="Corbel" w:cs="Times New Roman"/>
          <w:i/>
          <w:sz w:val="18"/>
          <w:szCs w:val="18"/>
        </w:rPr>
        <w:t>(skrajne daty)</w:t>
      </w:r>
      <w:bookmarkStart w:id="0" w:name="_GoBack"/>
      <w:bookmarkEnd w:id="0"/>
    </w:p>
    <w:p w14:paraId="3479F3DB" w14:textId="173E45AA" w:rsidR="00893DBF" w:rsidRPr="0035624D" w:rsidRDefault="00893DBF" w:rsidP="00893DBF">
      <w:pPr>
        <w:spacing w:after="0" w:line="240" w:lineRule="exact"/>
        <w:jc w:val="both"/>
        <w:rPr>
          <w:rFonts w:ascii="Corbel" w:eastAsia="Calibri" w:hAnsi="Corbel" w:cs="Times New Roman"/>
          <w:sz w:val="18"/>
          <w:szCs w:val="18"/>
        </w:rPr>
      </w:pPr>
      <w:r w:rsidRPr="0035624D">
        <w:rPr>
          <w:rFonts w:ascii="Corbel" w:eastAsia="Calibri" w:hAnsi="Corbel" w:cs="Times New Roman"/>
          <w:sz w:val="18"/>
          <w:szCs w:val="18"/>
        </w:rPr>
        <w:tab/>
      </w:r>
      <w:r w:rsidRPr="0035624D">
        <w:rPr>
          <w:rFonts w:ascii="Corbel" w:eastAsia="Calibri" w:hAnsi="Corbel" w:cs="Times New Roman"/>
          <w:sz w:val="18"/>
          <w:szCs w:val="18"/>
        </w:rPr>
        <w:tab/>
      </w:r>
      <w:r w:rsidRPr="0035624D">
        <w:rPr>
          <w:rFonts w:ascii="Corbel" w:eastAsia="Calibri" w:hAnsi="Corbel" w:cs="Times New Roman"/>
          <w:sz w:val="18"/>
          <w:szCs w:val="18"/>
        </w:rPr>
        <w:tab/>
      </w:r>
      <w:r w:rsidRPr="0035624D">
        <w:rPr>
          <w:rFonts w:ascii="Corbel" w:eastAsia="Calibri" w:hAnsi="Corbel" w:cs="Times New Roman"/>
          <w:sz w:val="18"/>
          <w:szCs w:val="18"/>
        </w:rPr>
        <w:tab/>
      </w:r>
      <w:r>
        <w:rPr>
          <w:rFonts w:ascii="Corbel" w:eastAsia="Calibri" w:hAnsi="Corbel" w:cs="Times New Roman"/>
          <w:sz w:val="18"/>
          <w:szCs w:val="18"/>
        </w:rPr>
        <w:t xml:space="preserve">Rok akademicki </w:t>
      </w:r>
      <w:r w:rsidR="009C30CA" w:rsidRPr="009C30CA">
        <w:rPr>
          <w:rFonts w:ascii="Corbel" w:eastAsia="Calibri" w:hAnsi="Corbel" w:cs="Times New Roman"/>
          <w:i/>
          <w:smallCaps/>
          <w:sz w:val="18"/>
          <w:szCs w:val="18"/>
        </w:rPr>
        <w:t>2022/2023</w:t>
      </w:r>
    </w:p>
    <w:p w14:paraId="48DAA025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063E7C25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>1.PODSTAWOWE INFORMACJE O PRZEDMIOCIE</w:t>
      </w:r>
    </w:p>
    <w:tbl>
      <w:tblPr>
        <w:tblW w:w="85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5500"/>
      </w:tblGrid>
      <w:tr w:rsidR="009218AB" w:rsidRPr="009218AB" w14:paraId="757FDD44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3C9C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E3BF" w14:textId="77777777" w:rsidR="009218AB" w:rsidRPr="009C6A22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b/>
                <w:sz w:val="18"/>
                <w:szCs w:val="18"/>
                <w:lang w:eastAsia="pl-PL"/>
              </w:rPr>
            </w:pPr>
            <w:r w:rsidRPr="009C6A22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Rząd w systemie parlamentarnym</w:t>
            </w:r>
          </w:p>
        </w:tc>
      </w:tr>
      <w:tr w:rsidR="009218AB" w:rsidRPr="009218AB" w14:paraId="0ABFD94F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376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Kod przedmiotu*</w:t>
            </w:r>
          </w:p>
        </w:tc>
        <w:tc>
          <w:tcPr>
            <w:tcW w:w="5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525626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PRA 105</w:t>
            </w:r>
          </w:p>
        </w:tc>
      </w:tr>
      <w:tr w:rsidR="009218AB" w:rsidRPr="009218AB" w14:paraId="01C18E5B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5595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nazwa jednostki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prowadzącej kierunek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2394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Kolegium Nauk Społecznych</w:t>
            </w:r>
          </w:p>
        </w:tc>
      </w:tr>
      <w:tr w:rsidR="009C6A22" w:rsidRPr="009218AB" w14:paraId="4DA6610C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E543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Nazwa jednostki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 xml:space="preserve">realizującej przedmiot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41FE" w14:textId="4C5EDB54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Kolegium Nauk Społecznych</w:t>
            </w:r>
          </w:p>
        </w:tc>
      </w:tr>
      <w:tr w:rsidR="009C6A22" w:rsidRPr="009218AB" w14:paraId="2174602A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F6E9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Kierunek studiów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EB30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Administracja </w:t>
            </w:r>
          </w:p>
        </w:tc>
      </w:tr>
      <w:tr w:rsidR="009C6A22" w:rsidRPr="009218AB" w14:paraId="5E32780C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FFEE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Poziom kształcenia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0AAE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Studia II stopnia</w:t>
            </w:r>
          </w:p>
        </w:tc>
      </w:tr>
      <w:tr w:rsidR="009C6A22" w:rsidRPr="009218AB" w14:paraId="3C1F009B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3F19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Profil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7AA5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Praktyczny</w:t>
            </w:r>
          </w:p>
        </w:tc>
      </w:tr>
      <w:tr w:rsidR="009C6A22" w:rsidRPr="009218AB" w14:paraId="06DC211A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0D08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Forma studiów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B3C3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Stacjonarne</w:t>
            </w:r>
          </w:p>
        </w:tc>
      </w:tr>
      <w:tr w:rsidR="009C6A22" w:rsidRPr="009218AB" w14:paraId="0576B014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8D14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Rok i semestr/y  studiów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1FAA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Rok II, semestr III</w:t>
            </w:r>
          </w:p>
        </w:tc>
      </w:tr>
      <w:tr w:rsidR="009C6A22" w:rsidRPr="009218AB" w14:paraId="32E1A36C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915C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Rodzaj przedmiotu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42B2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Fakultatywny</w:t>
            </w:r>
          </w:p>
        </w:tc>
      </w:tr>
      <w:tr w:rsidR="009C6A22" w:rsidRPr="009218AB" w14:paraId="667CEE7F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2A59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5014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polski</w:t>
            </w:r>
          </w:p>
        </w:tc>
      </w:tr>
      <w:tr w:rsidR="009C6A22" w:rsidRPr="009218AB" w14:paraId="3F726FBA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792B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Koordynator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4A33" w14:textId="70777F45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Dr hab. Radosław Grabowski, prof. UR</w:t>
            </w:r>
          </w:p>
        </w:tc>
      </w:tr>
      <w:tr w:rsidR="009C6A22" w:rsidRPr="009218AB" w14:paraId="6848C700" w14:textId="77777777" w:rsidTr="009C6A2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0D4F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Imię i nazwisko osoby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prowadzącej / osób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prowadzących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6844" w14:textId="77777777" w:rsidR="009C6A22" w:rsidRPr="009218AB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Dr hab. Grzegorz Pastuszko, prof. UR</w:t>
            </w:r>
          </w:p>
        </w:tc>
      </w:tr>
    </w:tbl>
    <w:p w14:paraId="4B074415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i/>
          <w:i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 xml:space="preserve">* </w:t>
      </w:r>
      <w:r w:rsidRPr="009218AB">
        <w:rPr>
          <w:rFonts w:ascii="Corbel" w:eastAsia="Times New Roman" w:hAnsi="Corbel" w:cs="Times New Roman"/>
          <w:b/>
          <w:bCs/>
          <w:i/>
          <w:iCs/>
          <w:color w:val="000000"/>
          <w:sz w:val="18"/>
          <w:szCs w:val="18"/>
          <w:lang w:eastAsia="pl-PL"/>
        </w:rPr>
        <w:t xml:space="preserve">opcjonalnie, </w:t>
      </w:r>
      <w:r w:rsidRPr="009218AB">
        <w:rPr>
          <w:rFonts w:ascii="Corbel" w:eastAsia="Times New Roman" w:hAnsi="Corbel" w:cs="Times New Roman"/>
          <w:i/>
          <w:iCs/>
          <w:color w:val="000000"/>
          <w:sz w:val="18"/>
          <w:szCs w:val="18"/>
          <w:lang w:eastAsia="pl-PL"/>
        </w:rPr>
        <w:t>zgodnie z ustaleniami w Jednostce</w:t>
      </w:r>
    </w:p>
    <w:p w14:paraId="70CBC7D9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i/>
          <w:iCs/>
          <w:color w:val="000000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>1.1.Formy zajęć dydaktycznych, wymiar godzin i punktów ECTS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09"/>
        <w:gridCol w:w="850"/>
        <w:gridCol w:w="851"/>
        <w:gridCol w:w="850"/>
        <w:gridCol w:w="709"/>
        <w:gridCol w:w="850"/>
        <w:gridCol w:w="709"/>
        <w:gridCol w:w="992"/>
        <w:gridCol w:w="1134"/>
      </w:tblGrid>
      <w:tr w:rsidR="009218AB" w:rsidRPr="009218AB" w14:paraId="3C9841F2" w14:textId="77777777" w:rsidTr="00FB02D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B117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Semestr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(nr)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9081" w14:textId="217204CB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proofErr w:type="spellStart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Wykł</w:t>
            </w:r>
            <w:proofErr w:type="spellEnd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3D7" w14:textId="2E2EB338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8C3D0" w14:textId="509E2C28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proofErr w:type="spellStart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</w:t>
            </w:r>
            <w:proofErr w:type="spellEnd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F20E" w14:textId="5F10D8F0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Lab.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E7B6" w14:textId="245F6A4C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proofErr w:type="spellStart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Sem</w:t>
            </w:r>
            <w:proofErr w:type="spellEnd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2F26" w14:textId="7B7DA9CA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98C37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proofErr w:type="spellStart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Prakt</w:t>
            </w:r>
            <w:proofErr w:type="spellEnd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4D16D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Inne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( jakie?)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2C53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Liczba pkt</w:t>
            </w: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ECTS</w:t>
            </w:r>
          </w:p>
        </w:tc>
      </w:tr>
      <w:tr w:rsidR="009218AB" w:rsidRPr="009218AB" w14:paraId="522E43EE" w14:textId="77777777" w:rsidTr="00FB02D5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B9EE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B135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161E9C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A13725" w14:textId="1976E372" w:rsidR="009218AB" w:rsidRPr="009218AB" w:rsidRDefault="000367AA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CD2C35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25B5B6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B8D365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92A015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143007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8353B0" w14:textId="77777777" w:rsidR="009218AB" w:rsidRPr="009218AB" w:rsidRDefault="009218AB" w:rsidP="009C6A22">
            <w:pPr>
              <w:spacing w:after="0" w:line="240" w:lineRule="auto"/>
              <w:jc w:val="center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4</w:t>
            </w:r>
          </w:p>
        </w:tc>
      </w:tr>
    </w:tbl>
    <w:p w14:paraId="70E09AB7" w14:textId="77777777" w:rsidR="009C6A22" w:rsidRDefault="009218AB" w:rsidP="009218AB">
      <w:pPr>
        <w:spacing w:after="0" w:line="240" w:lineRule="auto"/>
        <w:rPr>
          <w:rFonts w:ascii="Corbel" w:eastAsia="Times New Roman" w:hAnsi="Corbel" w:cs="Segoe UI Symbol"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>1.2. Sposób realizacji zajęć</w:t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br/>
      </w:r>
    </w:p>
    <w:p w14:paraId="53F0D5C1" w14:textId="2ECC5B8A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Segoe UI Symbol"/>
          <w:color w:val="000000"/>
          <w:sz w:val="18"/>
          <w:szCs w:val="18"/>
          <w:lang w:eastAsia="pl-PL"/>
        </w:rPr>
        <w:t xml:space="preserve">x  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zajęcia w formie tradycyjnej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br/>
      </w:r>
      <w:r w:rsidR="00893DBF" w:rsidRPr="009218AB">
        <w:rPr>
          <w:rFonts w:ascii="Corbel" w:eastAsia="Times New Roman" w:hAnsi="Corbel" w:cs="Segoe UI Symbol"/>
          <w:color w:val="000000"/>
          <w:sz w:val="18"/>
          <w:szCs w:val="18"/>
          <w:lang w:eastAsia="pl-PL"/>
        </w:rPr>
        <w:t>x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 xml:space="preserve"> zajęcia realizowane z wykorzystaniem metod i technik kształcenia na odległość</w:t>
      </w:r>
    </w:p>
    <w:p w14:paraId="59453437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 xml:space="preserve">1.3. Forma zaliczenia przedmiotu (z toku) 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(egzamin, zaliczenie z oceną, zaliczenie bez oceny)</w:t>
      </w:r>
    </w:p>
    <w:p w14:paraId="179E4BBD" w14:textId="77777777" w:rsidR="009C6A22" w:rsidRDefault="009C6A22" w:rsidP="009218AB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</w:p>
    <w:p w14:paraId="656D28B4" w14:textId="2AA1AE09" w:rsidR="009C6A22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zaliczenie z oceną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br/>
      </w:r>
    </w:p>
    <w:p w14:paraId="4EF0F96C" w14:textId="27BF66FF" w:rsid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>2.WYMAGANIA WSTĘPNE</w:t>
      </w:r>
    </w:p>
    <w:p w14:paraId="74DF03CC" w14:textId="77777777" w:rsidR="009C6A22" w:rsidRPr="009218AB" w:rsidRDefault="009C6A22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tbl>
      <w:tblPr>
        <w:tblW w:w="9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9218AB" w:rsidRPr="009218AB" w14:paraId="6DD51241" w14:textId="77777777" w:rsidTr="009218AB">
        <w:trPr>
          <w:trHeight w:val="596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7D1A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NAUKA O PANSTWIE WSPOŁCZESNYM</w:t>
            </w:r>
          </w:p>
        </w:tc>
      </w:tr>
    </w:tbl>
    <w:p w14:paraId="222A3037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p w14:paraId="47887756" w14:textId="77777777" w:rsidR="009218AB" w:rsidRPr="009218AB" w:rsidRDefault="009218AB" w:rsidP="009218AB">
      <w:pPr>
        <w:spacing w:after="0" w:line="240" w:lineRule="auto"/>
        <w:rPr>
          <w:rFonts w:ascii="Corbel" w:eastAsia="Calibri" w:hAnsi="Corbel" w:cs="Times New Roman"/>
          <w:b/>
          <w:smallCaps/>
          <w:sz w:val="18"/>
          <w:szCs w:val="18"/>
        </w:rPr>
      </w:pPr>
      <w:r w:rsidRPr="009218AB">
        <w:rPr>
          <w:rFonts w:ascii="Corbel" w:eastAsia="Times New Roman" w:hAnsi="Corbel" w:cs="Times New Roman"/>
          <w:b/>
          <w:smallCaps/>
          <w:sz w:val="18"/>
          <w:szCs w:val="18"/>
          <w:lang w:eastAsia="pl-PL"/>
        </w:rPr>
        <w:br/>
      </w:r>
      <w:r w:rsidRPr="009218AB">
        <w:rPr>
          <w:rFonts w:ascii="Corbel" w:eastAsia="Calibri" w:hAnsi="Corbel" w:cs="Times New Roman"/>
          <w:b/>
          <w:smallCaps/>
          <w:sz w:val="18"/>
          <w:szCs w:val="18"/>
        </w:rPr>
        <w:t>3. cele, efekty uczenia się , treści Programowe i stosowane metody Dydaktyczne</w:t>
      </w:r>
    </w:p>
    <w:p w14:paraId="5956F169" w14:textId="237AAF4E" w:rsid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br/>
        <w:t>3.1. Cele przedmiotu</w:t>
      </w:r>
    </w:p>
    <w:p w14:paraId="34A410BD" w14:textId="77777777" w:rsidR="009C6A22" w:rsidRPr="009218AB" w:rsidRDefault="009C6A22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tbl>
      <w:tblPr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8"/>
        <w:gridCol w:w="6062"/>
      </w:tblGrid>
      <w:tr w:rsidR="009218AB" w:rsidRPr="009218AB" w14:paraId="567799F7" w14:textId="77777777" w:rsidTr="009218A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3ACF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C1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0618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i/>
                <w:iCs/>
                <w:color w:val="000000"/>
                <w:sz w:val="18"/>
                <w:szCs w:val="18"/>
                <w:lang w:eastAsia="pl-PL"/>
              </w:rPr>
              <w:t>Celem prowadzonych zajęć jest analiza porównawcza modeli systemów rządu oraz rozwinięta</w:t>
            </w:r>
            <w:r w:rsidRPr="009218AB">
              <w:rPr>
                <w:rFonts w:ascii="Corbel" w:eastAsia="Times New Roman" w:hAnsi="Corbel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  <w:t>charakterystyka systemów prezydenckich i parlamentarnych.</w:t>
            </w:r>
          </w:p>
        </w:tc>
      </w:tr>
    </w:tbl>
    <w:p w14:paraId="502899E9" w14:textId="77777777" w:rsidR="009C6A22" w:rsidRDefault="009218AB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</w:p>
    <w:p w14:paraId="455A6B00" w14:textId="40A560AD" w:rsidR="009218AB" w:rsidRPr="009218AB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sz w:val="18"/>
          <w:szCs w:val="18"/>
        </w:rPr>
      </w:pPr>
      <w:r>
        <w:rPr>
          <w:rFonts w:ascii="Corbel" w:eastAsia="Calibri" w:hAnsi="Corbel" w:cs="Times New Roman"/>
          <w:b/>
          <w:sz w:val="18"/>
          <w:szCs w:val="18"/>
        </w:rPr>
        <w:br w:type="column"/>
      </w:r>
      <w:r w:rsidR="009218AB" w:rsidRPr="009218AB">
        <w:rPr>
          <w:rFonts w:ascii="Corbel" w:eastAsia="Calibri" w:hAnsi="Corbel" w:cs="Times New Roman"/>
          <w:b/>
          <w:sz w:val="18"/>
          <w:szCs w:val="18"/>
        </w:rPr>
        <w:lastRenderedPageBreak/>
        <w:t>3.2 Efekty uczenia się dla przedmiotu</w:t>
      </w:r>
      <w:r w:rsidR="009218AB" w:rsidRPr="009218AB">
        <w:rPr>
          <w:rFonts w:ascii="Corbel" w:eastAsia="Calibri" w:hAnsi="Corbel" w:cs="Times New Roman"/>
          <w:sz w:val="18"/>
          <w:szCs w:val="18"/>
        </w:rPr>
        <w:t xml:space="preserve"> </w:t>
      </w:r>
    </w:p>
    <w:p w14:paraId="38C7C9C6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tbl>
      <w:tblPr>
        <w:tblW w:w="0" w:type="auto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387"/>
        <w:gridCol w:w="1917"/>
      </w:tblGrid>
      <w:tr w:rsidR="009C6A22" w:rsidRPr="00CE0F69" w14:paraId="594DE71B" w14:textId="77777777" w:rsidTr="009C6A22">
        <w:tc>
          <w:tcPr>
            <w:tcW w:w="1696" w:type="dxa"/>
            <w:vAlign w:val="center"/>
          </w:tcPr>
          <w:p w14:paraId="335A76AC" w14:textId="60FE68C8" w:rsidR="009C6A22" w:rsidRPr="00CE0F69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066B24">
              <w:rPr>
                <w:rFonts w:ascii="Corbel" w:hAnsi="Corbel"/>
              </w:rPr>
              <w:t>EK (efekt uczenia się)</w:t>
            </w:r>
          </w:p>
        </w:tc>
        <w:tc>
          <w:tcPr>
            <w:tcW w:w="5387" w:type="dxa"/>
            <w:vAlign w:val="center"/>
          </w:tcPr>
          <w:p w14:paraId="30878106" w14:textId="1B06A955" w:rsidR="009C6A22" w:rsidRPr="00CE0F69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066B24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917" w:type="dxa"/>
            <w:vAlign w:val="center"/>
          </w:tcPr>
          <w:p w14:paraId="596D832B" w14:textId="37E7AEEE" w:rsidR="009C6A22" w:rsidRPr="00CE0F69" w:rsidRDefault="009C6A22" w:rsidP="009C6A22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066B24">
              <w:rPr>
                <w:rFonts w:ascii="Corbel" w:hAnsi="Corbel"/>
              </w:rPr>
              <w:t xml:space="preserve">Odniesienie do efektów  kierunkowych </w:t>
            </w:r>
            <w:r w:rsidRPr="00066B24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0C11D3" w:rsidRPr="00CE0F69" w14:paraId="074F6321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D286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EK_01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1EBE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przedstawia teorię podziału i funkcje władzy politycznej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D410" w14:textId="0B372FF8" w:rsidR="000C11D3" w:rsidRPr="009C6A22" w:rsidRDefault="000C11D3" w:rsidP="009C6A22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>K_W01</w:t>
            </w: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K_W02</w:t>
            </w:r>
            <w:r w:rsidR="009C6A22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96456E">
              <w:rPr>
                <w:rFonts w:ascii="Corbel" w:hAnsi="Corbel"/>
              </w:rPr>
              <w:t>K_K06</w:t>
            </w:r>
          </w:p>
          <w:p w14:paraId="27C33830" w14:textId="77777777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0C11D3" w:rsidRPr="00CE0F69" w14:paraId="5F387BEC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AACBA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EK_02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16D7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opisuje strukturę, pozycję i rolę władzy wykonawczej w ustroju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10B3" w14:textId="77777777" w:rsidR="009C6A22" w:rsidRDefault="000C11D3" w:rsidP="009C6A22">
            <w:pPr>
              <w:spacing w:after="200" w:line="240" w:lineRule="auto"/>
              <w:contextualSpacing/>
              <w:jc w:val="both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>K_W02,</w:t>
            </w:r>
          </w:p>
          <w:p w14:paraId="30343DED" w14:textId="499F6DCE" w:rsidR="000C11D3" w:rsidRPr="009C6A22" w:rsidRDefault="000C11D3" w:rsidP="009C6A22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 w:rsidRPr="0096456E">
              <w:rPr>
                <w:rFonts w:ascii="Corbel" w:hAnsi="Corbel"/>
              </w:rPr>
              <w:t>K_K06</w:t>
            </w:r>
          </w:p>
        </w:tc>
      </w:tr>
      <w:tr w:rsidR="000C11D3" w:rsidRPr="00CE0F69" w14:paraId="13C0DEFB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E9E0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EK_03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E162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potrafi wskazać powiązania władzy wykonawczej z innymi</w:t>
            </w: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ogniwami władzy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0B5F3" w14:textId="3F47EE22" w:rsidR="000C11D3" w:rsidRPr="009C6A22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lang w:eastAsia="pl-PL"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>K_W04</w:t>
            </w:r>
            <w:r w:rsidR="009C6A22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>K_W12</w:t>
            </w:r>
            <w:r w:rsidR="009C6A22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96456E">
              <w:rPr>
                <w:rFonts w:ascii="Corbel" w:eastAsia="Times New Roman" w:hAnsi="Corbel" w:cs="Times New Roman"/>
                <w:lang w:eastAsia="pl-PL"/>
              </w:rPr>
              <w:t>K_W10</w:t>
            </w:r>
            <w:r w:rsidR="009C6A22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96456E">
              <w:rPr>
                <w:rFonts w:ascii="Corbel" w:eastAsia="Times New Roman" w:hAnsi="Corbel" w:cs="Times New Roman"/>
                <w:lang w:eastAsia="pl-PL"/>
              </w:rPr>
              <w:t>K_W09</w:t>
            </w:r>
          </w:p>
        </w:tc>
      </w:tr>
      <w:tr w:rsidR="000C11D3" w:rsidRPr="00CE0F69" w14:paraId="0BE39246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0365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EK_04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2D14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rozróżnia charakter systemu prezydenckiego i parlamentarnego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4DFB" w14:textId="04445C52" w:rsidR="000C11D3" w:rsidRPr="0096456E" w:rsidRDefault="000C11D3" w:rsidP="003B192C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K_W01,K_W02, </w:t>
            </w:r>
            <w:r w:rsidRPr="0096456E">
              <w:rPr>
                <w:rFonts w:ascii="Corbel" w:hAnsi="Corbel"/>
              </w:rPr>
              <w:t>K_K06</w:t>
            </w:r>
          </w:p>
          <w:p w14:paraId="3EEC5772" w14:textId="77777777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0C11D3" w:rsidRPr="00CE0F69" w14:paraId="3476A62C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4373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EK_05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5936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wymienia cele systemu hamulców i równoważenia się</w:t>
            </w: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poszczególnych organów państwa i zasady niepołączalności</w:t>
            </w: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funkcji i stanowisk publicznych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3C91" w14:textId="51F333F2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>K_W04</w:t>
            </w: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br/>
              <w:t>K_U01</w:t>
            </w:r>
            <w:r w:rsidR="009C6A22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, </w:t>
            </w:r>
            <w:r w:rsidRPr="0096456E">
              <w:rPr>
                <w:rFonts w:ascii="Corbel" w:hAnsi="Corbel"/>
              </w:rPr>
              <w:t>K_K06</w:t>
            </w:r>
          </w:p>
          <w:p w14:paraId="27925940" w14:textId="77777777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0C11D3" w:rsidRPr="00CE0F69" w14:paraId="2946A5E6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A91F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EK_06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DA82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opisuje mechanizmy kontroli parlamentarnej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9BAD" w14:textId="77777777" w:rsidR="000C11D3" w:rsidRPr="0096456E" w:rsidRDefault="000C11D3" w:rsidP="003B192C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K_W01, </w:t>
            </w:r>
            <w:r w:rsidRPr="0096456E">
              <w:rPr>
                <w:rFonts w:ascii="Corbel" w:hAnsi="Corbel"/>
              </w:rPr>
              <w:t>K_K06</w:t>
            </w:r>
          </w:p>
          <w:p w14:paraId="2DB8E56F" w14:textId="77777777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  <w:tr w:rsidR="000C11D3" w:rsidRPr="00CE0F69" w14:paraId="5BA4093E" w14:textId="77777777" w:rsidTr="009C6A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397B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EK_07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DC1" w14:textId="77777777" w:rsidR="000C11D3" w:rsidRPr="00CE0F69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opisuje kompetencje Rady Ministrów i Prezesa Rady Ministrów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0630" w14:textId="77777777" w:rsidR="000C11D3" w:rsidRPr="0096456E" w:rsidRDefault="000C11D3" w:rsidP="003B192C">
            <w:pPr>
              <w:spacing w:after="200" w:line="240" w:lineRule="auto"/>
              <w:contextualSpacing/>
              <w:jc w:val="both"/>
              <w:rPr>
                <w:rFonts w:ascii="Corbel" w:eastAsia="Calibri" w:hAnsi="Corbel" w:cs="Times New Roman"/>
                <w:b/>
              </w:rPr>
            </w:pPr>
            <w:r w:rsidRPr="0096456E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K_W01, </w:t>
            </w:r>
            <w:r w:rsidRPr="0096456E">
              <w:rPr>
                <w:rFonts w:ascii="Corbel" w:hAnsi="Corbel"/>
              </w:rPr>
              <w:t>K_K06</w:t>
            </w:r>
          </w:p>
          <w:p w14:paraId="5E862771" w14:textId="77777777" w:rsidR="000C11D3" w:rsidRPr="0096456E" w:rsidRDefault="000C11D3" w:rsidP="003B192C">
            <w:pPr>
              <w:spacing w:after="0" w:line="240" w:lineRule="auto"/>
              <w:rPr>
                <w:rFonts w:ascii="Corbel" w:eastAsia="Times New Roman" w:hAnsi="Corbel" w:cs="Times New Roman"/>
                <w:lang w:eastAsia="pl-PL"/>
              </w:rPr>
            </w:pPr>
          </w:p>
        </w:tc>
      </w:tr>
    </w:tbl>
    <w:p w14:paraId="6B293A7E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p w14:paraId="27B5E657" w14:textId="77777777" w:rsidR="009218AB" w:rsidRPr="009218AB" w:rsidRDefault="009218AB" w:rsidP="009218AB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18"/>
          <w:szCs w:val="18"/>
        </w:rPr>
      </w:pPr>
      <w:r w:rsidRPr="009218AB">
        <w:rPr>
          <w:rFonts w:ascii="Corbel" w:eastAsia="Calibri" w:hAnsi="Corbel" w:cs="Times New Roman"/>
          <w:b/>
          <w:sz w:val="18"/>
          <w:szCs w:val="18"/>
        </w:rPr>
        <w:t xml:space="preserve">3.3 Treści programowe </w:t>
      </w:r>
      <w:r w:rsidRPr="009218AB">
        <w:rPr>
          <w:rFonts w:ascii="Corbel" w:eastAsia="Calibri" w:hAnsi="Corbel" w:cs="Times New Roman"/>
          <w:sz w:val="18"/>
          <w:szCs w:val="18"/>
        </w:rPr>
        <w:t xml:space="preserve">  </w:t>
      </w:r>
    </w:p>
    <w:p w14:paraId="0852671C" w14:textId="12498308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i/>
          <w:iCs/>
          <w:color w:val="000000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A. Problematyka wykładu</w:t>
      </w:r>
      <w:r w:rsidR="00C82666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 xml:space="preserve"> – nie dotyczy</w:t>
      </w:r>
    </w:p>
    <w:p w14:paraId="5C4A45EE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color w:val="000000"/>
          <w:sz w:val="18"/>
          <w:szCs w:val="18"/>
          <w:lang w:eastAsia="pl-PL"/>
        </w:rPr>
        <w:t>B. Problematyka ćwiczeń audytoryjnych, konwersatoryjnych, laboratoryjnych, zajęć</w:t>
      </w:r>
      <w:r w:rsidRPr="009218AB">
        <w:rPr>
          <w:rFonts w:ascii="Corbel" w:eastAsia="Times New Roman" w:hAnsi="Corbel" w:cs="Times New Roman"/>
          <w:b/>
          <w:color w:val="000000"/>
          <w:sz w:val="18"/>
          <w:szCs w:val="18"/>
          <w:lang w:eastAsia="pl-PL"/>
        </w:rPr>
        <w:br/>
        <w:t>praktycznych</w:t>
      </w:r>
    </w:p>
    <w:p w14:paraId="2869B479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</w:p>
    <w:p w14:paraId="7A3D46D7" w14:textId="77777777" w:rsidR="00D81AFA" w:rsidRPr="00CE0F69" w:rsidRDefault="00D81AFA" w:rsidP="00D81AFA">
      <w:pPr>
        <w:spacing w:after="0" w:line="240" w:lineRule="auto"/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Y="6"/>
        <w:tblW w:w="79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698"/>
      </w:tblGrid>
      <w:tr w:rsidR="00D81AFA" w:rsidRPr="00CE0F69" w14:paraId="671A06EF" w14:textId="77777777" w:rsidTr="009C6A2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B1D9" w14:textId="77777777" w:rsidR="00D81AFA" w:rsidRPr="00CE0F69" w:rsidRDefault="00D81AFA" w:rsidP="00135603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Treści merytoryczne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A288" w14:textId="77777777" w:rsidR="00D81AFA" w:rsidRPr="00CE0F69" w:rsidRDefault="00D81AFA" w:rsidP="00135603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CE0F69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Liczba godzin</w:t>
            </w:r>
          </w:p>
        </w:tc>
      </w:tr>
      <w:tr w:rsidR="00D81AFA" w:rsidRPr="00CE0F69" w14:paraId="1339D2F8" w14:textId="77777777" w:rsidTr="009C6A22"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DC42" w14:textId="77777777" w:rsidR="00D81AFA" w:rsidRPr="00CE0F69" w:rsidRDefault="00D81AFA" w:rsidP="00135603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27"/>
              <w:gridCol w:w="3969"/>
            </w:tblGrid>
            <w:tr w:rsidR="00D81AFA" w:rsidRPr="00CE0F69" w14:paraId="08911066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6BD39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1. Geneza oraz ewolucja ustroju parlamentarnego w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60741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</w:tr>
            <w:tr w:rsidR="00D81AFA" w:rsidRPr="00CE0F69" w14:paraId="1EB20700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2ECCFB" w14:textId="77777777" w:rsidR="00D81AFA" w:rsidRPr="008A152F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2. </w:t>
                  </w:r>
                  <w:r w:rsidRPr="008A152F"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Założenia klasycznego systemu parlamentarnego</w:t>
                  </w: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 xml:space="preserve"> i jego odmiany (rodzaje systemu rządów)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7A8E4D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</w:tr>
            <w:tr w:rsidR="00D81AFA" w:rsidRPr="00CE0F69" w14:paraId="65B8C059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35B79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3. Systemy rządów występujące na gruncie polskich regulacji konstytucyjnych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990DF2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D81AFA" w:rsidRPr="00CE0F69" w14:paraId="6D8188E4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B80273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 xml:space="preserve">4. Zasady ustrojowe determinujące pozycję ustrojową rządu w ustroju demokracji parlamentarnej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2FA19" w14:textId="117743A0" w:rsidR="00D81AFA" w:rsidRPr="00CE0F69" w:rsidRDefault="000367A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D81AFA" w:rsidRPr="00CE0F69" w14:paraId="6D03C30E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6D7DAE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>5. Relacje rządu z innymi organami władzy państwowej – zagadnienia teoretyczne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7B3097" w14:textId="2CAF090C" w:rsidR="00D81AFA" w:rsidRPr="00CE0F69" w:rsidRDefault="000367A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D81AFA" w:rsidRPr="00CE0F69" w14:paraId="7EA305AE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EE4C0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>6. Rząd w systemie parlamentarnym w Polsce – rys historyczny i współczesność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7A6C8D" w14:textId="216E7D17" w:rsidR="00D81AFA" w:rsidRPr="00CE0F69" w:rsidRDefault="000367A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D81AFA" w:rsidRPr="00CE0F69" w14:paraId="77223928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1DE7B6" w14:textId="77777777" w:rsidR="00D81AFA" w:rsidRPr="00CE0F69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>7</w:t>
                  </w:r>
                  <w:r w:rsidRPr="005A4E41"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 xml:space="preserve">. Pozycja, funkcje i kompetencje rządu w systemie parlamentarnym </w:t>
                  </w:r>
                  <w:r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  <w:t xml:space="preserve">w wybranych państwach europejskich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4F0290" w14:textId="6DAD8F3A" w:rsidR="00D81AFA" w:rsidRPr="00CE0F69" w:rsidRDefault="000367A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</w:tr>
            <w:tr w:rsidR="00D81AFA" w:rsidRPr="009C6A22" w14:paraId="32097A56" w14:textId="77777777" w:rsidTr="00135603">
              <w:tc>
                <w:tcPr>
                  <w:tcW w:w="5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F7B47B" w14:textId="77777777" w:rsidR="00D81AFA" w:rsidRPr="009C6A22" w:rsidRDefault="00D81AF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sz w:val="18"/>
                      <w:szCs w:val="18"/>
                      <w:lang w:eastAsia="pl-PL"/>
                    </w:rPr>
                  </w:pPr>
                  <w:r w:rsidRPr="009C6A22">
                    <w:rPr>
                      <w:rFonts w:ascii="Corbel" w:eastAsia="Times New Roman" w:hAnsi="Corbel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Suma godzin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D3C3C1" w14:textId="04829E44" w:rsidR="00D81AFA" w:rsidRPr="009C6A22" w:rsidRDefault="000367AA" w:rsidP="009C30CA">
                  <w:pPr>
                    <w:framePr w:hSpace="141" w:wrap="around" w:vAnchor="text" w:hAnchor="margin" w:y="6"/>
                    <w:spacing w:after="0" w:line="240" w:lineRule="auto"/>
                    <w:rPr>
                      <w:rFonts w:ascii="Corbel" w:eastAsia="Times New Roman" w:hAnsi="Corbel" w:cs="Times New Roman"/>
                      <w:b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Corbel" w:eastAsia="Times New Roman" w:hAnsi="Corbel" w:cs="Times New Roman"/>
                      <w:b/>
                      <w:color w:val="000000"/>
                      <w:sz w:val="18"/>
                      <w:szCs w:val="18"/>
                      <w:lang w:eastAsia="pl-PL"/>
                    </w:rPr>
                    <w:t>9</w:t>
                  </w:r>
                </w:p>
              </w:tc>
            </w:tr>
          </w:tbl>
          <w:p w14:paraId="30A70A10" w14:textId="77777777" w:rsidR="00D81AFA" w:rsidRPr="00CE0F69" w:rsidRDefault="00D81AFA" w:rsidP="00135603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</w:p>
        </w:tc>
      </w:tr>
    </w:tbl>
    <w:p w14:paraId="2C5F2EB0" w14:textId="77777777" w:rsidR="009218AB" w:rsidRPr="009218AB" w:rsidRDefault="009218AB" w:rsidP="009218AB">
      <w:pPr>
        <w:spacing w:after="0" w:line="240" w:lineRule="auto"/>
        <w:rPr>
          <w:rFonts w:ascii="Corbel" w:eastAsia="Calibri" w:hAnsi="Corbel" w:cs="Times New Roman"/>
          <w:b/>
          <w:smallCaps/>
          <w:sz w:val="18"/>
          <w:szCs w:val="18"/>
        </w:rPr>
      </w:pPr>
    </w:p>
    <w:p w14:paraId="38706BB5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0B8BD4C6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3D1ED07D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0EE84289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4E62962E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204E2060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67D58234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2D2F3D76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58E011D3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78271DB8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554D31AE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4565B3AE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5CD79A1C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740E3C12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2AF5A302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12EF7ECB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0F6F78A2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68ACFC12" w14:textId="77777777" w:rsidR="009C6A22" w:rsidRDefault="009C6A22" w:rsidP="009218AB">
      <w:pPr>
        <w:spacing w:after="0" w:line="240" w:lineRule="auto"/>
        <w:ind w:left="426"/>
        <w:rPr>
          <w:rFonts w:ascii="Corbel" w:eastAsia="Calibri" w:hAnsi="Corbel" w:cs="Times New Roman"/>
          <w:b/>
          <w:sz w:val="18"/>
          <w:szCs w:val="18"/>
        </w:rPr>
      </w:pPr>
    </w:p>
    <w:p w14:paraId="5A8EF16C" w14:textId="42739F24" w:rsidR="009218AB" w:rsidRPr="009218AB" w:rsidRDefault="009218AB" w:rsidP="009218AB">
      <w:pPr>
        <w:spacing w:after="0" w:line="240" w:lineRule="auto"/>
        <w:ind w:left="426"/>
        <w:rPr>
          <w:rFonts w:ascii="Corbel" w:eastAsia="Calibri" w:hAnsi="Corbel" w:cs="Times New Roman"/>
          <w:sz w:val="18"/>
          <w:szCs w:val="18"/>
        </w:rPr>
      </w:pPr>
      <w:r w:rsidRPr="009218AB">
        <w:rPr>
          <w:rFonts w:ascii="Corbel" w:eastAsia="Calibri" w:hAnsi="Corbel" w:cs="Times New Roman"/>
          <w:b/>
          <w:sz w:val="18"/>
          <w:szCs w:val="18"/>
        </w:rPr>
        <w:t>3.4 Metody dydaktyczne</w:t>
      </w:r>
      <w:r w:rsidRPr="009218AB">
        <w:rPr>
          <w:rFonts w:ascii="Corbel" w:eastAsia="Calibri" w:hAnsi="Corbel" w:cs="Times New Roman"/>
          <w:sz w:val="18"/>
          <w:szCs w:val="18"/>
        </w:rPr>
        <w:t xml:space="preserve"> </w:t>
      </w:r>
    </w:p>
    <w:p w14:paraId="38D0B41F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399AD4B7" w14:textId="77777777" w:rsidR="009218AB" w:rsidRPr="009218AB" w:rsidRDefault="009218AB" w:rsidP="009218AB">
      <w:pPr>
        <w:spacing w:after="0" w:line="240" w:lineRule="auto"/>
        <w:rPr>
          <w:rFonts w:ascii="Corbel" w:eastAsia="Calibri" w:hAnsi="Corbel" w:cs="Times New Roman"/>
          <w:smallCaps/>
          <w:sz w:val="18"/>
          <w:szCs w:val="18"/>
        </w:rPr>
      </w:pPr>
      <w:r w:rsidRPr="009218AB">
        <w:rPr>
          <w:rFonts w:ascii="Corbel" w:eastAsia="Calibri" w:hAnsi="Corbel" w:cs="Times New Roman"/>
          <w:smallCaps/>
          <w:sz w:val="18"/>
          <w:szCs w:val="18"/>
        </w:rPr>
        <w:t>Konwersatorium: metoda konwersatoryjna przy użyciu metod nauczania teoretycznego, praktycznego, aktywizującego oraz sprzętu multimedialnego, metoda projektów(Prezentacji), praca w grupach, analiza tekstów z dyskusją</w:t>
      </w:r>
    </w:p>
    <w:p w14:paraId="03DF46F4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27B1A348" w14:textId="4D965928" w:rsidR="009218AB" w:rsidRPr="009218AB" w:rsidRDefault="009C6A22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br w:type="column"/>
      </w:r>
      <w:r w:rsidR="009218AB"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lastRenderedPageBreak/>
        <w:t>4 METODY I KRYTERIA OCENY</w:t>
      </w:r>
    </w:p>
    <w:p w14:paraId="64D1D42D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br/>
        <w:t xml:space="preserve">4.1 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Sposoby weryfikacji efektów uczenia się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941"/>
        <w:gridCol w:w="2098"/>
      </w:tblGrid>
      <w:tr w:rsidR="009218AB" w:rsidRPr="009218AB" w14:paraId="4AF8234D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A613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Symbol efektu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1E0A" w14:textId="5E464D12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Metody oceny efektów uczenia się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>( np.: kolokwium, egzamin ustny, egzamin pisemny,</w:t>
            </w:r>
            <w:r w:rsidR="008176E1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projekt, sprawozdanie, obserwacja w trakcie zajęć)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40D9" w14:textId="77777777" w:rsidR="009C6A22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Forma zajęć</w:t>
            </w: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  <w:t xml:space="preserve">dydaktycznych </w:t>
            </w:r>
          </w:p>
          <w:p w14:paraId="096A3822" w14:textId="51B10440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( w,</w:t>
            </w:r>
            <w:r w:rsidR="009C6A22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ćw</w:t>
            </w:r>
            <w:proofErr w:type="spellEnd"/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, …)</w:t>
            </w:r>
          </w:p>
        </w:tc>
      </w:tr>
      <w:tr w:rsidR="009218AB" w:rsidRPr="009218AB" w14:paraId="416DF731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2E98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EK_01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4D18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5D53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687DE42A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FBED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86DE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CF55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01F7FF2D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1BDD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EK_03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C9BF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83C6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4BDD3813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1653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31BE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0A5C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1A23C9FF" w14:textId="77777777" w:rsidTr="008176E1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03C7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EK_05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98B8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CA3A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44D26E1E" w14:textId="77777777" w:rsidTr="008176E1">
        <w:trPr>
          <w:trHeight w:val="10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F494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D3C3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E5AA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  <w:tr w:rsidR="009218AB" w:rsidRPr="009218AB" w14:paraId="76AFBBE8" w14:textId="77777777" w:rsidTr="008176E1">
        <w:trPr>
          <w:trHeight w:val="10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5A0D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b/>
                <w:bCs/>
                <w:color w:val="000000"/>
                <w:sz w:val="18"/>
                <w:szCs w:val="18"/>
                <w:lang w:eastAsia="pl-PL"/>
              </w:rPr>
              <w:t>EK_07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86CD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ZALICZENIE PISEMNE LUB USTNE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5DC2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KONWERSATORIUM</w:t>
            </w:r>
          </w:p>
        </w:tc>
      </w:tr>
    </w:tbl>
    <w:p w14:paraId="4EC8AAB7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034A1D01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4D475FC4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</w:p>
    <w:p w14:paraId="4631C915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 xml:space="preserve">4.2 </w:t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Warunki zaliczenia przedmiotu (kryteria oceniania)</w:t>
      </w:r>
    </w:p>
    <w:tbl>
      <w:tblPr>
        <w:tblW w:w="9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009218AB" w:rsidRPr="009218AB" w14:paraId="7C7289E6" w14:textId="77777777" w:rsidTr="009218A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042A" w14:textId="77777777" w:rsidR="009218AB" w:rsidRPr="009218AB" w:rsidRDefault="009218AB" w:rsidP="009218AB">
            <w:pPr>
              <w:spacing w:after="200" w:line="276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Zaliczenie pisemne:</w:t>
            </w:r>
          </w:p>
          <w:p w14:paraId="2538C1C9" w14:textId="77777777" w:rsidR="009218AB" w:rsidRPr="009218AB" w:rsidRDefault="009218AB" w:rsidP="009218A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Test składający się z 15 pytań jednokrotnego  lub wielokrotnego wyboru lub pisemna forma odpowiedzi na 3 pytania opisowe</w:t>
            </w:r>
          </w:p>
          <w:p w14:paraId="0D6EFFAF" w14:textId="77777777" w:rsidR="009218AB" w:rsidRPr="009218AB" w:rsidRDefault="009218AB" w:rsidP="009218A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 xml:space="preserve">Praca pisemna, liczba możliwych punktów do zdobycia: 5; </w:t>
            </w:r>
          </w:p>
          <w:p w14:paraId="765390DF" w14:textId="77777777" w:rsidR="009218AB" w:rsidRPr="009218AB" w:rsidRDefault="009218AB" w:rsidP="009218AB">
            <w:pPr>
              <w:spacing w:after="200" w:line="276" w:lineRule="auto"/>
              <w:ind w:left="720"/>
              <w:contextualSpacing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Kryteria oceny: kompletność odpowiedzi, umiejętność stawiania tez i dobór argumentów, użycie fachowej terminologii, wykorzystana bibliografia</w:t>
            </w:r>
          </w:p>
          <w:p w14:paraId="7EE9B2F8" w14:textId="77777777" w:rsidR="009218AB" w:rsidRPr="009218AB" w:rsidRDefault="009218AB" w:rsidP="009218AB">
            <w:pPr>
              <w:spacing w:after="200" w:line="276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Student otrzymuje ocenę pozytywną spełniając wymóg określony w punkcie 1 oraz uzyskując</w:t>
            </w:r>
          </w:p>
          <w:p w14:paraId="6683CCF3" w14:textId="77777777" w:rsidR="009218AB" w:rsidRPr="009218AB" w:rsidRDefault="009218AB" w:rsidP="009218AB">
            <w:pPr>
              <w:spacing w:after="200" w:line="276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co najmniej 50 % maksymalnej liczby punktów . W przypadku testu każde z pytań jest oceniane na „1” (odpowiedź poprawna) lub „0” (odpowiedź błędna).</w:t>
            </w:r>
          </w:p>
          <w:p w14:paraId="695A8607" w14:textId="77777777" w:rsidR="009218AB" w:rsidRPr="009218AB" w:rsidRDefault="009218AB" w:rsidP="009218AB">
            <w:pPr>
              <w:spacing w:after="120" w:line="240" w:lineRule="auto"/>
              <w:jc w:val="both"/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  <w:t>Zaliczenie ustne przeprowadzane jest według następujących zasad:</w:t>
            </w:r>
          </w:p>
          <w:p w14:paraId="50D4AF21" w14:textId="77777777" w:rsidR="009218AB" w:rsidRPr="009218AB" w:rsidRDefault="009218AB" w:rsidP="009218AB">
            <w:pPr>
              <w:spacing w:after="120" w:line="240" w:lineRule="auto"/>
              <w:jc w:val="both"/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  <w:t>– student losuje kolejno trzy pytania, na które udziela następnie odpowiedzi</w:t>
            </w:r>
          </w:p>
          <w:p w14:paraId="0A4F771C" w14:textId="77777777" w:rsidR="009218AB" w:rsidRPr="009218AB" w:rsidRDefault="009218AB" w:rsidP="009218AB">
            <w:pPr>
              <w:spacing w:after="120" w:line="240" w:lineRule="auto"/>
              <w:jc w:val="both"/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259912CA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Cambria" w:hAnsi="Corbel" w:cs="Times New Roman"/>
                <w:sz w:val="18"/>
                <w:szCs w:val="18"/>
                <w:lang w:eastAsia="pl-PL"/>
              </w:rPr>
              <w:t>– Warunkiem złożenia egzaminu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</w:tc>
      </w:tr>
    </w:tbl>
    <w:p w14:paraId="1823E710" w14:textId="77777777" w:rsidR="009C6A22" w:rsidRDefault="009C6A22" w:rsidP="009218AB">
      <w:pPr>
        <w:spacing w:after="0" w:line="240" w:lineRule="auto"/>
        <w:ind w:left="284" w:hanging="284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</w:p>
    <w:p w14:paraId="51213770" w14:textId="0EFCED2F" w:rsidR="009218AB" w:rsidRPr="009218AB" w:rsidRDefault="009218AB" w:rsidP="009218AB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18"/>
          <w:szCs w:val="18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Calibri" w:hAnsi="Corbel" w:cs="Times New Roman"/>
          <w:b/>
          <w:sz w:val="18"/>
          <w:szCs w:val="18"/>
        </w:rPr>
        <w:t xml:space="preserve">5. CAŁKOWITY NAKŁAD PRACY STUDENTA POTRZEBNY DO OSIĄGNIĘCIA ZAŁOŻONYCH EFEKTÓW W GODZINACH ORAZ PUNKTACH ECTS </w:t>
      </w:r>
    </w:p>
    <w:p w14:paraId="02589956" w14:textId="77777777" w:rsidR="009218AB" w:rsidRPr="009218AB" w:rsidRDefault="009218AB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358"/>
      </w:tblGrid>
      <w:tr w:rsidR="009218AB" w:rsidRPr="009218AB" w14:paraId="0E8D52E3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F1CF6" w14:textId="77777777" w:rsidR="009218AB" w:rsidRPr="009218AB" w:rsidRDefault="009218AB" w:rsidP="009218AB">
            <w:pPr>
              <w:spacing w:line="240" w:lineRule="auto"/>
              <w:jc w:val="center"/>
              <w:rPr>
                <w:rFonts w:ascii="Corbel" w:eastAsia="Calibri" w:hAnsi="Corbel" w:cs="Times New Roman"/>
                <w:b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b/>
                <w:sz w:val="18"/>
                <w:szCs w:val="18"/>
              </w:rPr>
              <w:t>Forma aktywności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BCFF" w14:textId="77777777" w:rsidR="009218AB" w:rsidRPr="009218AB" w:rsidRDefault="009218AB" w:rsidP="009218AB">
            <w:pPr>
              <w:spacing w:line="240" w:lineRule="auto"/>
              <w:jc w:val="center"/>
              <w:rPr>
                <w:rFonts w:ascii="Corbel" w:eastAsia="Calibri" w:hAnsi="Corbel" w:cs="Times New Roman"/>
                <w:b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b/>
                <w:sz w:val="18"/>
                <w:szCs w:val="18"/>
              </w:rPr>
              <w:t>Średnia liczba godzin na zrealizowanie aktywności</w:t>
            </w:r>
          </w:p>
        </w:tc>
      </w:tr>
      <w:tr w:rsidR="009218AB" w:rsidRPr="009218AB" w14:paraId="2BC61C64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1968B" w14:textId="77777777" w:rsidR="009218AB" w:rsidRPr="009218AB" w:rsidRDefault="009218AB" w:rsidP="00FE5DB7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 xml:space="preserve">Godziny kontaktowe wynikające </w:t>
            </w:r>
            <w:r w:rsidR="00FE5DB7">
              <w:rPr>
                <w:rFonts w:ascii="Corbel" w:eastAsia="Calibri" w:hAnsi="Corbel" w:cs="Times New Roman"/>
                <w:sz w:val="18"/>
                <w:szCs w:val="18"/>
              </w:rPr>
              <w:t>z harmonogramu</w:t>
            </w: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 xml:space="preserve"> studiów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86"/>
              <w:gridCol w:w="1946"/>
            </w:tblGrid>
            <w:tr w:rsidR="009218AB" w:rsidRPr="009218AB" w14:paraId="4DC63511" w14:textId="77777777">
              <w:tc>
                <w:tcPr>
                  <w:tcW w:w="2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E948A8" w14:textId="77777777" w:rsidR="009218AB" w:rsidRPr="009218AB" w:rsidRDefault="009218AB" w:rsidP="009218AB">
                  <w:pPr>
                    <w:spacing w:line="256" w:lineRule="auto"/>
                    <w:rPr>
                      <w:rFonts w:ascii="Corbel" w:eastAsia="Calibri" w:hAnsi="Corbel" w:cs="Times New Roman"/>
                      <w:sz w:val="18"/>
                      <w:szCs w:val="18"/>
                    </w:rPr>
                  </w:pPr>
                  <w:r w:rsidRPr="009218AB">
                    <w:rPr>
                      <w:rFonts w:ascii="Corbel" w:eastAsia="Calibri" w:hAnsi="Corbel" w:cs="Times New Roman"/>
                      <w:sz w:val="18"/>
                      <w:szCs w:val="18"/>
                    </w:rPr>
                    <w:t>konwersatorium</w:t>
                  </w:r>
                </w:p>
              </w:tc>
              <w:tc>
                <w:tcPr>
                  <w:tcW w:w="20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954007" w14:textId="36327072" w:rsidR="009218AB" w:rsidRPr="009218AB" w:rsidRDefault="00001054" w:rsidP="009218AB">
                  <w:pPr>
                    <w:spacing w:line="256" w:lineRule="auto"/>
                    <w:rPr>
                      <w:rFonts w:ascii="Corbel" w:eastAsia="Calibri" w:hAnsi="Corbel" w:cs="Times New Roman"/>
                      <w:sz w:val="18"/>
                      <w:szCs w:val="18"/>
                    </w:rPr>
                  </w:pPr>
                  <w:r>
                    <w:rPr>
                      <w:rFonts w:ascii="Corbel" w:eastAsia="Calibri" w:hAnsi="Corbel" w:cs="Times New Roman"/>
                      <w:sz w:val="18"/>
                      <w:szCs w:val="18"/>
                    </w:rPr>
                    <w:t>9</w:t>
                  </w:r>
                  <w:r w:rsidR="009218AB" w:rsidRPr="009218AB">
                    <w:rPr>
                      <w:rFonts w:ascii="Corbel" w:eastAsia="Calibri" w:hAnsi="Corbel" w:cs="Times New Roman"/>
                      <w:sz w:val="18"/>
                      <w:szCs w:val="18"/>
                    </w:rPr>
                    <w:t xml:space="preserve"> godz. </w:t>
                  </w:r>
                </w:p>
              </w:tc>
            </w:tr>
          </w:tbl>
          <w:p w14:paraId="47EEB5ED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</w:p>
        </w:tc>
      </w:tr>
      <w:tr w:rsidR="009218AB" w:rsidRPr="009218AB" w14:paraId="3C09F660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BF341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Inne z udziałem nauczyciela</w:t>
            </w:r>
          </w:p>
          <w:p w14:paraId="18EFF708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(udział w konsultacjach, zaliczeniu)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AF65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udział w konsultacjach – 4 godz.</w:t>
            </w:r>
          </w:p>
          <w:p w14:paraId="08298618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 xml:space="preserve">udział w zaliczeniu – 1 godz. </w:t>
            </w:r>
          </w:p>
        </w:tc>
      </w:tr>
      <w:tr w:rsidR="009218AB" w:rsidRPr="009218AB" w14:paraId="19F1F911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D886E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Godziny niekontaktowe – praca własna studenta</w:t>
            </w:r>
          </w:p>
          <w:p w14:paraId="04A7CFB6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(przygotowanie do zajęć, zaliczenia, napisanie referatu itp.)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343D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przygotowanie do zajęć – 10 godz.</w:t>
            </w:r>
          </w:p>
          <w:p w14:paraId="6558C7B3" w14:textId="3EDA47E2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Przygotowanie do zaliczenia - 7</w:t>
            </w:r>
            <w:r w:rsidR="00001054">
              <w:rPr>
                <w:rFonts w:ascii="Corbel" w:eastAsia="Calibri" w:hAnsi="Corbel" w:cs="Times New Roman"/>
                <w:sz w:val="18"/>
                <w:szCs w:val="18"/>
              </w:rPr>
              <w:t>6</w:t>
            </w: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 xml:space="preserve"> godz. </w:t>
            </w:r>
          </w:p>
        </w:tc>
      </w:tr>
      <w:tr w:rsidR="009218AB" w:rsidRPr="009218AB" w14:paraId="4A4B8641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CCF40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SUMA GODZIN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7AE6F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100</w:t>
            </w:r>
          </w:p>
        </w:tc>
      </w:tr>
      <w:tr w:rsidR="009218AB" w:rsidRPr="009218AB" w14:paraId="343967E6" w14:textId="77777777" w:rsidTr="009218AB"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52B7" w14:textId="77777777" w:rsidR="009218AB" w:rsidRPr="009218AB" w:rsidRDefault="009218AB" w:rsidP="009218AB">
            <w:pPr>
              <w:spacing w:line="240" w:lineRule="auto"/>
              <w:rPr>
                <w:rFonts w:ascii="Corbel" w:eastAsia="Calibri" w:hAnsi="Corbel" w:cs="Times New Roman"/>
                <w:b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b/>
                <w:sz w:val="18"/>
                <w:szCs w:val="18"/>
              </w:rPr>
              <w:t>SUMARYCZNA LICZBA PUNKTÓW ECTS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24EC" w14:textId="77777777" w:rsidR="009218AB" w:rsidRPr="009218AB" w:rsidRDefault="009218AB" w:rsidP="009218AB">
            <w:pPr>
              <w:spacing w:line="240" w:lineRule="auto"/>
              <w:jc w:val="center"/>
              <w:rPr>
                <w:rFonts w:ascii="Corbel" w:eastAsia="Calibri" w:hAnsi="Corbel" w:cs="Times New Roman"/>
                <w:sz w:val="18"/>
                <w:szCs w:val="18"/>
              </w:rPr>
            </w:pPr>
            <w:r w:rsidRPr="009218AB">
              <w:rPr>
                <w:rFonts w:ascii="Corbel" w:eastAsia="Calibri" w:hAnsi="Corbel" w:cs="Times New Roman"/>
                <w:sz w:val="18"/>
                <w:szCs w:val="18"/>
              </w:rPr>
              <w:t>4 punkty</w:t>
            </w:r>
          </w:p>
        </w:tc>
      </w:tr>
    </w:tbl>
    <w:p w14:paraId="1953A731" w14:textId="77777777" w:rsidR="009218AB" w:rsidRPr="009218AB" w:rsidRDefault="009218AB" w:rsidP="009218AB">
      <w:pPr>
        <w:spacing w:line="240" w:lineRule="auto"/>
        <w:ind w:left="426"/>
        <w:rPr>
          <w:rFonts w:ascii="Corbel" w:eastAsia="Calibri" w:hAnsi="Corbel" w:cs="Times New Roman"/>
          <w:i/>
          <w:sz w:val="18"/>
          <w:szCs w:val="18"/>
        </w:rPr>
      </w:pPr>
      <w:r w:rsidRPr="009218AB">
        <w:rPr>
          <w:rFonts w:ascii="Corbel" w:eastAsia="Calibri" w:hAnsi="Corbel" w:cs="Times New Roman"/>
          <w:i/>
          <w:sz w:val="18"/>
          <w:szCs w:val="18"/>
        </w:rPr>
        <w:t>* Należy uwzględnić, że 1 pkt ECTS odpowiada 25-30 godzin całkowitego nakładu pracy studenta.</w:t>
      </w:r>
    </w:p>
    <w:p w14:paraId="7E3E82F2" w14:textId="73ACFB24" w:rsidR="00001054" w:rsidRDefault="009218AB" w:rsidP="009218AB">
      <w:pPr>
        <w:spacing w:line="240" w:lineRule="auto"/>
        <w:ind w:left="426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br/>
      </w:r>
    </w:p>
    <w:p w14:paraId="3941C4F7" w14:textId="4E2B7ACE" w:rsidR="009218AB" w:rsidRPr="009218AB" w:rsidRDefault="00001054" w:rsidP="00001054">
      <w:pPr>
        <w:spacing w:line="240" w:lineRule="auto"/>
        <w:rPr>
          <w:rFonts w:ascii="Corbel" w:eastAsia="Calibri" w:hAnsi="Corbel" w:cs="Times New Roman"/>
          <w:i/>
          <w:sz w:val="18"/>
          <w:szCs w:val="18"/>
        </w:rPr>
      </w:pPr>
      <w:r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br w:type="column"/>
      </w:r>
      <w:r w:rsidR="009218AB"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lastRenderedPageBreak/>
        <w:t>6. PRAKTYKI ZAWODOWE W RAMACH PRZEDMIOTU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9218AB" w:rsidRPr="009218AB" w14:paraId="61CFAABA" w14:textId="77777777" w:rsidTr="009218A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FA1E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wymiar godzinowy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2831" w14:textId="111545EA" w:rsidR="009218AB" w:rsidRPr="009C6A22" w:rsidRDefault="009C6A22" w:rsidP="009218AB">
            <w:pPr>
              <w:spacing w:after="0" w:line="256" w:lineRule="auto"/>
              <w:rPr>
                <w:rFonts w:ascii="Corbel" w:eastAsia="Calibri" w:hAnsi="Corbel" w:cs="Times New Roman"/>
              </w:rPr>
            </w:pPr>
            <w:r w:rsidRPr="009C6A22">
              <w:rPr>
                <w:rFonts w:ascii="Corbel" w:eastAsia="Calibri" w:hAnsi="Corbel" w:cs="Times New Roman"/>
              </w:rPr>
              <w:t>Nie dotyczy</w:t>
            </w:r>
          </w:p>
        </w:tc>
      </w:tr>
      <w:tr w:rsidR="009218AB" w:rsidRPr="009218AB" w14:paraId="2A1DA39B" w14:textId="77777777" w:rsidTr="009218AB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93FC" w14:textId="77777777" w:rsidR="009218AB" w:rsidRPr="009218AB" w:rsidRDefault="009218AB" w:rsidP="009218AB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zasady i formy odbywania praktyk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1265" w14:textId="0B9998E8" w:rsidR="009218AB" w:rsidRPr="009C6A22" w:rsidRDefault="009C6A22" w:rsidP="009218AB">
            <w:pPr>
              <w:spacing w:after="0" w:line="256" w:lineRule="auto"/>
              <w:rPr>
                <w:rFonts w:ascii="Corbel" w:eastAsia="Calibri" w:hAnsi="Corbel" w:cs="Times New Roman"/>
              </w:rPr>
            </w:pPr>
            <w:r w:rsidRPr="009C6A22">
              <w:rPr>
                <w:rFonts w:ascii="Corbel" w:eastAsia="Calibri" w:hAnsi="Corbel" w:cs="Times New Roman"/>
              </w:rPr>
              <w:t>Nie dotyczy</w:t>
            </w:r>
          </w:p>
        </w:tc>
      </w:tr>
    </w:tbl>
    <w:p w14:paraId="4E1A2EF9" w14:textId="1E8BA6B1" w:rsidR="009218AB" w:rsidRDefault="009218AB" w:rsidP="009218AB">
      <w:pPr>
        <w:spacing w:after="0" w:line="240" w:lineRule="auto"/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b/>
          <w:bCs/>
          <w:color w:val="000000"/>
          <w:sz w:val="18"/>
          <w:szCs w:val="18"/>
          <w:lang w:eastAsia="pl-PL"/>
        </w:rPr>
        <w:t>7. LITERATURA</w:t>
      </w:r>
    </w:p>
    <w:p w14:paraId="6E86A6CB" w14:textId="77777777" w:rsidR="009C6A22" w:rsidRPr="009218AB" w:rsidRDefault="009C6A22" w:rsidP="009218AB">
      <w:pPr>
        <w:spacing w:after="0" w:line="240" w:lineRule="auto"/>
        <w:rPr>
          <w:rFonts w:ascii="Corbel" w:eastAsia="Times New Roman" w:hAnsi="Corbel" w:cs="Times New Roman"/>
          <w:sz w:val="18"/>
          <w:szCs w:val="18"/>
          <w:lang w:eastAsia="pl-PL"/>
        </w:rPr>
      </w:pPr>
    </w:p>
    <w:tbl>
      <w:tblPr>
        <w:tblW w:w="70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</w:tblGrid>
      <w:tr w:rsidR="009218AB" w:rsidRPr="009218AB" w14:paraId="438B9FFB" w14:textId="77777777" w:rsidTr="009265C4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51DA" w14:textId="77777777" w:rsidR="009C6A22" w:rsidRDefault="009218AB" w:rsidP="001A06F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C6A22">
              <w:rPr>
                <w:rFonts w:ascii="Corbel" w:eastAsia="Times New Roman" w:hAnsi="Corbel" w:cs="Times New Roman"/>
                <w:b/>
                <w:color w:val="000000"/>
                <w:sz w:val="18"/>
                <w:szCs w:val="18"/>
                <w:lang w:eastAsia="pl-PL"/>
              </w:rPr>
              <w:t>Literatura podstawowa:</w:t>
            </w:r>
          </w:p>
          <w:p w14:paraId="5D88F31A" w14:textId="3EB9B96D" w:rsidR="001A06F9" w:rsidRPr="001A06F9" w:rsidRDefault="009218AB" w:rsidP="001A06F9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</w:r>
            <w:r w:rsidR="001A06F9" w:rsidRPr="001A06F9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Wiesław Skrzydło, Polskie prawo konstytucyjne, Lublin 2010.</w:t>
            </w:r>
          </w:p>
          <w:p w14:paraId="69E314D1" w14:textId="77777777" w:rsidR="001A06F9" w:rsidRPr="001A06F9" w:rsidRDefault="001A06F9" w:rsidP="001A06F9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1A06F9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Andrzej Bałaban, Rada Ministrów: organizacja i funkcjonowanie, Kraków, "Zakamycze",</w:t>
            </w:r>
          </w:p>
          <w:p w14:paraId="47A2971A" w14:textId="77777777" w:rsidR="009218AB" w:rsidRPr="009218AB" w:rsidRDefault="001A06F9" w:rsidP="001A06F9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1A06F9"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  <w:t>2002.</w:t>
            </w:r>
          </w:p>
        </w:tc>
      </w:tr>
      <w:tr w:rsidR="009218AB" w:rsidRPr="009218AB" w14:paraId="2DC09357" w14:textId="77777777" w:rsidTr="009265C4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8414" w14:textId="77777777" w:rsidR="009C6A22" w:rsidRDefault="009218AB" w:rsidP="001A06F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C6A22">
              <w:rPr>
                <w:rFonts w:ascii="Corbel" w:eastAsia="Times New Roman" w:hAnsi="Corbel" w:cs="Times New Roman"/>
                <w:b/>
                <w:color w:val="000000"/>
                <w:sz w:val="18"/>
                <w:szCs w:val="18"/>
                <w:lang w:eastAsia="pl-PL"/>
              </w:rPr>
              <w:t>Literatura uzupełniająca:</w:t>
            </w:r>
          </w:p>
          <w:p w14:paraId="5E852A5C" w14:textId="0E7AFB7B" w:rsidR="001A06F9" w:rsidRPr="001A06F9" w:rsidRDefault="009218AB" w:rsidP="001A06F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9218AB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br/>
            </w:r>
            <w:r w:rsidR="001A06F9"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Jerzy </w:t>
            </w:r>
            <w:proofErr w:type="spellStart"/>
            <w:r w:rsidR="001A06F9"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Stembrowicz</w:t>
            </w:r>
            <w:proofErr w:type="spellEnd"/>
            <w:r w:rsidR="001A06F9"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, Rząd w systemie parlament</w:t>
            </w:r>
            <w:r w:rsidR="009C6A22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ar</w:t>
            </w:r>
            <w:r w:rsidR="001A06F9"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nym,</w:t>
            </w:r>
            <w:r w:rsidR="009C6A22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A06F9"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Warszawa 1982</w:t>
            </w:r>
          </w:p>
          <w:p w14:paraId="35B704E2" w14:textId="77777777" w:rsidR="001A06F9" w:rsidRPr="001A06F9" w:rsidRDefault="001A06F9" w:rsidP="001A06F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</w:pPr>
            <w:r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Ryszard </w:t>
            </w:r>
            <w:proofErr w:type="spellStart"/>
            <w:r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Mojak</w:t>
            </w:r>
            <w:proofErr w:type="spellEnd"/>
            <w:r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 xml:space="preserve">, Parlament a rząd w ustroju Trzeciej Rzeczypospolitej Polskiej, Lublin 2007. </w:t>
            </w:r>
          </w:p>
          <w:p w14:paraId="49431670" w14:textId="77777777" w:rsidR="009218AB" w:rsidRPr="009218AB" w:rsidRDefault="001A06F9" w:rsidP="001A06F9">
            <w:pPr>
              <w:spacing w:after="0" w:line="240" w:lineRule="auto"/>
              <w:rPr>
                <w:rFonts w:ascii="Corbel" w:eastAsia="Times New Roman" w:hAnsi="Corbel" w:cs="Times New Roman"/>
                <w:sz w:val="18"/>
                <w:szCs w:val="18"/>
                <w:lang w:eastAsia="pl-PL"/>
              </w:rPr>
            </w:pPr>
            <w:r w:rsidRPr="001A06F9">
              <w:rPr>
                <w:rFonts w:ascii="Corbel" w:eastAsia="Times New Roman" w:hAnsi="Corbel" w:cs="Times New Roman"/>
                <w:color w:val="000000"/>
                <w:sz w:val="18"/>
                <w:szCs w:val="18"/>
                <w:lang w:eastAsia="pl-PL"/>
              </w:rPr>
              <w:t>Maria Kruk, Funkcja kontrolna Sejmu RP, Warszawa, Wydaw. Sejmowe, 2008.</w:t>
            </w:r>
          </w:p>
        </w:tc>
      </w:tr>
    </w:tbl>
    <w:p w14:paraId="4FE1437A" w14:textId="77777777" w:rsidR="009218AB" w:rsidRPr="009218AB" w:rsidRDefault="009218AB" w:rsidP="009218AB">
      <w:pPr>
        <w:spacing w:line="256" w:lineRule="auto"/>
        <w:rPr>
          <w:rFonts w:ascii="Corbel" w:eastAsia="Calibri" w:hAnsi="Corbel" w:cs="Times New Roman"/>
          <w:sz w:val="18"/>
          <w:szCs w:val="18"/>
        </w:rPr>
      </w:pPr>
      <w:r w:rsidRPr="009218AB">
        <w:rPr>
          <w:rFonts w:ascii="Corbel" w:eastAsia="Times New Roman" w:hAnsi="Corbel" w:cs="Times New Roman"/>
          <w:sz w:val="18"/>
          <w:szCs w:val="18"/>
          <w:lang w:eastAsia="pl-PL"/>
        </w:rPr>
        <w:br/>
      </w:r>
      <w:r w:rsidRPr="009218AB">
        <w:rPr>
          <w:rFonts w:ascii="Corbel" w:eastAsia="Times New Roman" w:hAnsi="Corbel" w:cs="Times New Roman"/>
          <w:color w:val="000000"/>
          <w:sz w:val="18"/>
          <w:szCs w:val="18"/>
          <w:lang w:eastAsia="pl-PL"/>
        </w:rPr>
        <w:t>Akceptacja Kierownika Jednostki lub osoby upoważnionej</w:t>
      </w:r>
    </w:p>
    <w:p w14:paraId="0FE6751E" w14:textId="77777777" w:rsidR="00BF53B4" w:rsidRPr="009218AB" w:rsidRDefault="00BF53B4" w:rsidP="009218AB"/>
    <w:sectPr w:rsidR="00BF53B4" w:rsidRPr="009218AB" w:rsidSect="009C6A2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87CF3" w14:textId="77777777" w:rsidR="00292FBA" w:rsidRDefault="00292FBA" w:rsidP="009C6A22">
      <w:pPr>
        <w:spacing w:after="0" w:line="240" w:lineRule="auto"/>
      </w:pPr>
      <w:r>
        <w:separator/>
      </w:r>
    </w:p>
  </w:endnote>
  <w:endnote w:type="continuationSeparator" w:id="0">
    <w:p w14:paraId="39CC11D4" w14:textId="77777777" w:rsidR="00292FBA" w:rsidRDefault="00292FBA" w:rsidP="009C6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S-Goth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68A2A" w14:textId="77777777" w:rsidR="00292FBA" w:rsidRDefault="00292FBA" w:rsidP="009C6A22">
      <w:pPr>
        <w:spacing w:after="0" w:line="240" w:lineRule="auto"/>
      </w:pPr>
      <w:r>
        <w:separator/>
      </w:r>
    </w:p>
  </w:footnote>
  <w:footnote w:type="continuationSeparator" w:id="0">
    <w:p w14:paraId="25A7A239" w14:textId="77777777" w:rsidR="00292FBA" w:rsidRDefault="00292FBA" w:rsidP="009C6A22">
      <w:pPr>
        <w:spacing w:after="0" w:line="240" w:lineRule="auto"/>
      </w:pPr>
      <w:r>
        <w:continuationSeparator/>
      </w:r>
    </w:p>
  </w:footnote>
  <w:footnote w:id="1">
    <w:p w14:paraId="4E2EA65E" w14:textId="77777777" w:rsidR="009C6A22" w:rsidRDefault="009C6A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A22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10125"/>
    <w:multiLevelType w:val="hybridMultilevel"/>
    <w:tmpl w:val="5F5E0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96F23"/>
    <w:multiLevelType w:val="hybridMultilevel"/>
    <w:tmpl w:val="D0A25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425B7"/>
    <w:multiLevelType w:val="hybridMultilevel"/>
    <w:tmpl w:val="1AE04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814"/>
    <w:rsid w:val="00001054"/>
    <w:rsid w:val="000367AA"/>
    <w:rsid w:val="00083632"/>
    <w:rsid w:val="00087CFD"/>
    <w:rsid w:val="00091CD3"/>
    <w:rsid w:val="000C11D3"/>
    <w:rsid w:val="001225C2"/>
    <w:rsid w:val="001A06F9"/>
    <w:rsid w:val="001D63D5"/>
    <w:rsid w:val="001F0AA6"/>
    <w:rsid w:val="00210CDE"/>
    <w:rsid w:val="002447BF"/>
    <w:rsid w:val="002838B4"/>
    <w:rsid w:val="00292FBA"/>
    <w:rsid w:val="002C2289"/>
    <w:rsid w:val="00341B21"/>
    <w:rsid w:val="003871AE"/>
    <w:rsid w:val="00397814"/>
    <w:rsid w:val="003F0230"/>
    <w:rsid w:val="00453B80"/>
    <w:rsid w:val="004636F9"/>
    <w:rsid w:val="004C1CDC"/>
    <w:rsid w:val="00505C61"/>
    <w:rsid w:val="005616C2"/>
    <w:rsid w:val="00572038"/>
    <w:rsid w:val="00581DAA"/>
    <w:rsid w:val="00585F73"/>
    <w:rsid w:val="00673580"/>
    <w:rsid w:val="006C19DC"/>
    <w:rsid w:val="007048BA"/>
    <w:rsid w:val="007249D0"/>
    <w:rsid w:val="00734AD9"/>
    <w:rsid w:val="007724DB"/>
    <w:rsid w:val="008176E1"/>
    <w:rsid w:val="00837C6D"/>
    <w:rsid w:val="00893DBF"/>
    <w:rsid w:val="008E0C61"/>
    <w:rsid w:val="009218AB"/>
    <w:rsid w:val="009265C4"/>
    <w:rsid w:val="009B2918"/>
    <w:rsid w:val="009C30CA"/>
    <w:rsid w:val="009C6A22"/>
    <w:rsid w:val="009E183E"/>
    <w:rsid w:val="00A27CF8"/>
    <w:rsid w:val="00AE1744"/>
    <w:rsid w:val="00AE21FB"/>
    <w:rsid w:val="00BB3BF7"/>
    <w:rsid w:val="00BD39A2"/>
    <w:rsid w:val="00BF53B4"/>
    <w:rsid w:val="00BF7853"/>
    <w:rsid w:val="00C22928"/>
    <w:rsid w:val="00C82666"/>
    <w:rsid w:val="00D51BD6"/>
    <w:rsid w:val="00D80CCF"/>
    <w:rsid w:val="00D81AFA"/>
    <w:rsid w:val="00D858FE"/>
    <w:rsid w:val="00DB5313"/>
    <w:rsid w:val="00E70940"/>
    <w:rsid w:val="00EC258E"/>
    <w:rsid w:val="00EF6513"/>
    <w:rsid w:val="00F43D67"/>
    <w:rsid w:val="00F82BCF"/>
    <w:rsid w:val="00F9025F"/>
    <w:rsid w:val="00FA789F"/>
    <w:rsid w:val="00FB0049"/>
    <w:rsid w:val="00FB02D5"/>
    <w:rsid w:val="00FE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9CF8"/>
  <w15:docId w15:val="{7744E8A2-95B6-4D48-9930-3DF253DB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397814"/>
    <w:rPr>
      <w:rFonts w:ascii="Calibri-Bold" w:hAnsi="Calibri-Bold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Domylnaczcionkaakapitu"/>
    <w:rsid w:val="0039781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9781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397814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397814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61">
    <w:name w:val="fontstyle61"/>
    <w:basedOn w:val="Domylnaczcionkaakapitu"/>
    <w:rsid w:val="00397814"/>
    <w:rPr>
      <w:rFonts w:ascii="MS-Gothic" w:hAnsi="MS-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Domylnaczcionkaakapitu"/>
    <w:rsid w:val="0039781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1F0AA6"/>
    <w:pPr>
      <w:ind w:left="720"/>
      <w:contextualSpacing/>
    </w:pPr>
  </w:style>
  <w:style w:type="paragraph" w:customStyle="1" w:styleId="Punktygwne">
    <w:name w:val="Punkty główne"/>
    <w:basedOn w:val="Normalny"/>
    <w:rsid w:val="002838B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8B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A2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A2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6A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8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1c</dc:creator>
  <cp:lastModifiedBy>Admin</cp:lastModifiedBy>
  <cp:revision>8</cp:revision>
  <cp:lastPrinted>2020-10-08T21:47:00Z</cp:lastPrinted>
  <dcterms:created xsi:type="dcterms:W3CDTF">2021-04-21T06:55:00Z</dcterms:created>
  <dcterms:modified xsi:type="dcterms:W3CDTF">2021-08-23T11:44:00Z</dcterms:modified>
</cp:coreProperties>
</file>